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7" w:rsidRPr="006951C5" w:rsidRDefault="008556B7" w:rsidP="008556B7">
      <w:pPr>
        <w:pStyle w:val="cmjNASLOV"/>
      </w:pPr>
      <w:r w:rsidRPr="006951C5">
        <w:t>Usporedba RISK-PCI, GRACE i TIMI izračuna rizika za predviđanje velikih ne</w:t>
      </w:r>
      <w:r>
        <w:t xml:space="preserve">povoljnih </w:t>
      </w:r>
      <w:r w:rsidRPr="006951C5">
        <w:t xml:space="preserve">kardijalnih događaja kod pacijenata s akutnim koronarnim sindromom </w:t>
      </w:r>
    </w:p>
    <w:p w:rsidR="008556B7" w:rsidRPr="006951C5" w:rsidRDefault="008556B7" w:rsidP="008556B7">
      <w:pPr>
        <w:pStyle w:val="cmjTEXT"/>
        <w:rPr>
          <w:rFonts w:eastAsia="MyriadPro-Light"/>
        </w:rPr>
      </w:pPr>
      <w:r>
        <w:rPr>
          <w:rFonts w:cs="MyriadPro-Bold"/>
          <w:b/>
          <w:bCs/>
        </w:rPr>
        <w:t xml:space="preserve">Cilj </w:t>
      </w:r>
      <w:r>
        <w:rPr>
          <w:rFonts w:eastAsia="MyriadPro-Light"/>
        </w:rPr>
        <w:t>Usporediti prognostičku izvedbu tri velika sustava za izračun rizika, uključujući globalni registar za akutne koronarne događaje (</w:t>
      </w:r>
      <w:r w:rsidRPr="006951C5">
        <w:rPr>
          <w:rFonts w:eastAsia="MyriadPro-Light"/>
        </w:rPr>
        <w:t>GRACE</w:t>
      </w:r>
      <w:r>
        <w:rPr>
          <w:rFonts w:eastAsia="MyriadPro-Light"/>
        </w:rPr>
        <w:t>, prema engl,</w:t>
      </w:r>
      <w:r w:rsidRPr="006951C5">
        <w:rPr>
          <w:rFonts w:eastAsia="MyriadPro-Light"/>
        </w:rPr>
        <w:t xml:space="preserve"> </w:t>
      </w:r>
      <w:r w:rsidRPr="0097511B">
        <w:rPr>
          <w:rFonts w:eastAsia="MyriadPro-Light"/>
          <w:i/>
        </w:rPr>
        <w:t>global registry for acute coronary events</w:t>
      </w:r>
      <w:r w:rsidRPr="006951C5">
        <w:rPr>
          <w:rFonts w:eastAsia="MyriadPro-Light"/>
        </w:rPr>
        <w:t xml:space="preserve">), </w:t>
      </w:r>
      <w:r>
        <w:rPr>
          <w:rFonts w:eastAsia="MyriadPro-Light"/>
        </w:rPr>
        <w:t>trombolizu kod miokardijalnog infarkta (</w:t>
      </w:r>
      <w:r w:rsidRPr="006951C5">
        <w:rPr>
          <w:rFonts w:eastAsia="MyriadPro-Light"/>
        </w:rPr>
        <w:t>TIMI</w:t>
      </w:r>
      <w:r>
        <w:rPr>
          <w:rFonts w:eastAsia="MyriadPro-Light"/>
        </w:rPr>
        <w:t>, prema engl,</w:t>
      </w:r>
      <w:r w:rsidRPr="006951C5">
        <w:rPr>
          <w:rFonts w:eastAsia="MyriadPro-Light"/>
        </w:rPr>
        <w:t xml:space="preserve"> thrombolysis in myocardial infarction</w:t>
      </w:r>
      <w:r>
        <w:rPr>
          <w:rFonts w:eastAsia="MyriadPro-Light"/>
        </w:rPr>
        <w:t>) i predviđanje velikog neželjenog kardiovaskularnog događaja unutar 30 dana nakon primarne perkutane koronarne intervencije (prema engl,</w:t>
      </w:r>
      <w:r w:rsidRPr="006951C5">
        <w:rPr>
          <w:rFonts w:eastAsia="MyriadPro-Light"/>
        </w:rPr>
        <w:t xml:space="preserve"> percutaneous coronary</w:t>
      </w:r>
      <w:r>
        <w:rPr>
          <w:rFonts w:eastAsia="MyriadPro-Light"/>
        </w:rPr>
        <w:t xml:space="preserve"> </w:t>
      </w:r>
      <w:r w:rsidRPr="006951C5">
        <w:rPr>
          <w:rFonts w:eastAsia="MyriadPro-Light"/>
        </w:rPr>
        <w:t>intervention</w:t>
      </w:r>
      <w:r>
        <w:rPr>
          <w:rFonts w:eastAsia="MyriadPro-Light"/>
        </w:rPr>
        <w:t xml:space="preserve">, </w:t>
      </w:r>
      <w:r w:rsidRPr="006951C5">
        <w:rPr>
          <w:rFonts w:eastAsia="MyriadPro-Light"/>
        </w:rPr>
        <w:t>RISK-PCI).</w:t>
      </w:r>
    </w:p>
    <w:p w:rsidR="008556B7" w:rsidRPr="006951C5" w:rsidRDefault="008556B7" w:rsidP="008556B7">
      <w:pPr>
        <w:pStyle w:val="cmjTEXT"/>
        <w:rPr>
          <w:rFonts w:eastAsia="MyriadPro-Light"/>
        </w:rPr>
      </w:pPr>
      <w:r>
        <w:rPr>
          <w:rFonts w:cs="MyriadPro-Bold"/>
          <w:b/>
          <w:bCs/>
        </w:rPr>
        <w:t>Postupci</w:t>
      </w:r>
      <w:r w:rsidRPr="006951C5">
        <w:rPr>
          <w:rFonts w:cs="MyriadPro-Bold"/>
          <w:b/>
          <w:bCs/>
        </w:rPr>
        <w:t xml:space="preserve"> </w:t>
      </w:r>
      <w:r w:rsidRPr="006B6D56">
        <w:rPr>
          <w:rFonts w:cs="MyriadPro-Bold"/>
          <w:bCs/>
        </w:rPr>
        <w:t>Ovo retrospektivno istraživanje u jednom centru</w:t>
      </w:r>
      <w:r>
        <w:rPr>
          <w:rFonts w:cs="MyriadPro-Bold"/>
          <w:b/>
          <w:bCs/>
        </w:rPr>
        <w:t xml:space="preserve"> </w:t>
      </w:r>
      <w:r>
        <w:rPr>
          <w:rFonts w:eastAsia="MyriadPro-Light"/>
        </w:rPr>
        <w:t xml:space="preserve">uključilo je </w:t>
      </w:r>
      <w:r w:rsidRPr="006951C5">
        <w:rPr>
          <w:rFonts w:eastAsia="MyriadPro-Light"/>
        </w:rPr>
        <w:t xml:space="preserve">200 </w:t>
      </w:r>
      <w:r>
        <w:rPr>
          <w:rFonts w:eastAsia="MyriadPro-Light"/>
        </w:rPr>
        <w:t xml:space="preserve">pacijenata s akutnim koronarnim sindromom koji su od siječnja do srpnja </w:t>
      </w:r>
      <w:r w:rsidRPr="006951C5">
        <w:rPr>
          <w:rFonts w:eastAsia="MyriadPro-Light"/>
        </w:rPr>
        <w:t>2014</w:t>
      </w:r>
      <w:r>
        <w:rPr>
          <w:rFonts w:eastAsia="MyriadPro-Light"/>
        </w:rPr>
        <w:t>. podvrgnuti invazivnom dijagnostičkom pristupu, tj, koronarnoj angiografiji i miokardijalnoj revaskularizaciji ovisno o potrebi</w:t>
      </w:r>
      <w:r w:rsidRPr="006951C5">
        <w:rPr>
          <w:rFonts w:eastAsia="MyriadPro-Light"/>
        </w:rPr>
        <w:t xml:space="preserve">. </w:t>
      </w:r>
      <w:r>
        <w:rPr>
          <w:rFonts w:eastAsia="MyriadPro-Light"/>
        </w:rPr>
        <w:t xml:space="preserve">Usporedili smo prediktivnu sposobnost izračuna rizika </w:t>
      </w:r>
      <w:r w:rsidRPr="006951C5">
        <w:rPr>
          <w:rFonts w:eastAsia="MyriadPro-Light"/>
        </w:rPr>
        <w:t>GRACE, TIMI</w:t>
      </w:r>
      <w:r>
        <w:rPr>
          <w:rFonts w:eastAsia="MyriadPro-Light"/>
        </w:rPr>
        <w:t xml:space="preserve"> i RISK-PCI. Primarni cilj bio je složeni ishod veliki neželjeni kardiovaskularni događaj unutar 30 dana</w:t>
      </w:r>
      <w:r w:rsidRPr="006951C5">
        <w:rPr>
          <w:rFonts w:eastAsia="MyriadPro-Light"/>
        </w:rPr>
        <w:t>,</w:t>
      </w:r>
      <w:r>
        <w:rPr>
          <w:rFonts w:eastAsia="MyriadPro-Light"/>
        </w:rPr>
        <w:t xml:space="preserve"> uključujući smrt, hitnu revaskularizaciju </w:t>
      </w:r>
      <w:r w:rsidRPr="0033460A">
        <w:rPr>
          <w:rFonts w:eastAsia="MyriadPro-Light"/>
        </w:rPr>
        <w:t>ciljne koronarne arterije</w:t>
      </w:r>
      <w:r w:rsidRPr="006951C5">
        <w:rPr>
          <w:rFonts w:eastAsia="MyriadPro-Light"/>
        </w:rPr>
        <w:t xml:space="preserve">, </w:t>
      </w:r>
      <w:r>
        <w:rPr>
          <w:rFonts w:eastAsia="MyriadPro-Light"/>
        </w:rPr>
        <w:t>moždani udar</w:t>
      </w:r>
      <w:r w:rsidRPr="006951C5">
        <w:rPr>
          <w:rFonts w:eastAsia="MyriadPro-Light"/>
        </w:rPr>
        <w:t xml:space="preserve"> </w:t>
      </w:r>
      <w:r>
        <w:rPr>
          <w:rFonts w:eastAsia="MyriadPro-Light"/>
        </w:rPr>
        <w:t>i nesmrtonosan ponovljeni infarkt miokarda</w:t>
      </w:r>
      <w:r w:rsidRPr="006951C5">
        <w:rPr>
          <w:rFonts w:eastAsia="MyriadPro-Light"/>
        </w:rPr>
        <w:t>.</w:t>
      </w:r>
    </w:p>
    <w:p w:rsidR="008556B7" w:rsidRPr="00583CE7" w:rsidRDefault="008556B7" w:rsidP="008556B7">
      <w:pPr>
        <w:pStyle w:val="cmjTEXT"/>
        <w:rPr>
          <w:rFonts w:eastAsia="MyriadPro-Light"/>
          <w:i/>
        </w:rPr>
      </w:pPr>
      <w:r w:rsidRPr="006951C5">
        <w:rPr>
          <w:rFonts w:cs="MyriadPro-Bold"/>
          <w:b/>
          <w:bCs/>
        </w:rPr>
        <w:t>Re</w:t>
      </w:r>
      <w:r>
        <w:rPr>
          <w:rFonts w:cs="MyriadPro-Bold"/>
          <w:b/>
          <w:bCs/>
        </w:rPr>
        <w:t>zultati</w:t>
      </w:r>
      <w:r w:rsidRPr="006951C5">
        <w:rPr>
          <w:rFonts w:cs="MyriadPro-Bold"/>
          <w:b/>
          <w:bCs/>
        </w:rPr>
        <w:t xml:space="preserve"> </w:t>
      </w:r>
      <w:r>
        <w:rPr>
          <w:rFonts w:cs="MyriadPro-Bold"/>
          <w:bCs/>
        </w:rPr>
        <w:t xml:space="preserve">Područja ispod ROC krivulje (prema eng. </w:t>
      </w:r>
      <w:r w:rsidRPr="007A05A8">
        <w:rPr>
          <w:rFonts w:eastAsia="MyriadPro-Light"/>
          <w:i/>
        </w:rPr>
        <w:t>area under the receiver operating characteristic</w:t>
      </w:r>
      <w:r>
        <w:rPr>
          <w:rFonts w:eastAsia="MyriadPro-Light"/>
          <w:i/>
        </w:rPr>
        <w:t xml:space="preserve"> c</w:t>
      </w:r>
      <w:r w:rsidRPr="007A05A8">
        <w:rPr>
          <w:rFonts w:eastAsia="MyriadPro-Light"/>
          <w:i/>
        </w:rPr>
        <w:t>urve</w:t>
      </w:r>
      <w:r>
        <w:rPr>
          <w:rFonts w:eastAsia="MyriadPro-Light"/>
        </w:rPr>
        <w:t xml:space="preserve">, </w:t>
      </w:r>
      <w:r w:rsidRPr="006951C5">
        <w:rPr>
          <w:rFonts w:eastAsia="MyriadPro-Light"/>
        </w:rPr>
        <w:t>AUC</w:t>
      </w:r>
      <w:r>
        <w:rPr>
          <w:rFonts w:cs="MyriadPro-Bold"/>
          <w:bCs/>
        </w:rPr>
        <w:t>) i rasponi pouzdanosti</w:t>
      </w:r>
      <w:r w:rsidRPr="007A05A8">
        <w:rPr>
          <w:rFonts w:cs="MyriadPro-Bold"/>
          <w:bCs/>
        </w:rPr>
        <w:t xml:space="preserve"> </w:t>
      </w:r>
      <w:r>
        <w:rPr>
          <w:rFonts w:cs="MyriadPro-Bold"/>
          <w:bCs/>
        </w:rPr>
        <w:t xml:space="preserve">(prema eng. </w:t>
      </w:r>
      <w:r>
        <w:rPr>
          <w:rFonts w:eastAsia="MyriadPro-Light"/>
          <w:i/>
        </w:rPr>
        <w:t xml:space="preserve">confidence intervals, </w:t>
      </w:r>
      <w:r w:rsidRPr="006951C5">
        <w:rPr>
          <w:rFonts w:eastAsia="MyriadPro-Light"/>
        </w:rPr>
        <w:t xml:space="preserve">CI) </w:t>
      </w:r>
      <w:r w:rsidRPr="007A05A8">
        <w:rPr>
          <w:rFonts w:cs="MyriadPro-Bold"/>
          <w:bCs/>
        </w:rPr>
        <w:t>za</w:t>
      </w:r>
      <w:r>
        <w:rPr>
          <w:rFonts w:cs="MyriadPro-Bold"/>
          <w:b/>
          <w:bCs/>
        </w:rPr>
        <w:t xml:space="preserve"> </w:t>
      </w:r>
      <w:r w:rsidRPr="00273370">
        <w:rPr>
          <w:rFonts w:cs="MyriadPro-Bold"/>
          <w:bCs/>
        </w:rPr>
        <w:t xml:space="preserve">testirane izračune </w:t>
      </w:r>
      <w:r>
        <w:rPr>
          <w:rFonts w:eastAsia="MyriadPro-Light"/>
        </w:rPr>
        <w:t>bili su sljedeći</w:t>
      </w:r>
      <w:r w:rsidRPr="006951C5">
        <w:rPr>
          <w:rFonts w:eastAsia="MyriadPro-Light"/>
        </w:rPr>
        <w:t>:</w:t>
      </w:r>
      <w:r>
        <w:rPr>
          <w:rFonts w:eastAsia="MyriadPro-Light"/>
          <w:i/>
        </w:rPr>
        <w:t xml:space="preserve"> </w:t>
      </w:r>
      <w:r w:rsidRPr="006951C5">
        <w:rPr>
          <w:rFonts w:eastAsia="MyriadPro-Light"/>
        </w:rPr>
        <w:t>RISK-PCI (AUC =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94; 95% CI 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790-4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353), GRACE</w:t>
      </w:r>
      <w:r>
        <w:rPr>
          <w:rFonts w:eastAsia="MyriadPro-Light"/>
        </w:rPr>
        <w:t xml:space="preserve"> kod primanja u bolnicu </w:t>
      </w:r>
      <w:r w:rsidRPr="006951C5">
        <w:rPr>
          <w:rFonts w:eastAsia="MyriadPro-Light"/>
        </w:rPr>
        <w:t>(AUC =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73; 95% CI 1</w:t>
      </w:r>
      <w:r>
        <w:rPr>
          <w:rFonts w:eastAsia="MyriadPro-Light"/>
        </w:rPr>
        <w:t>,013-1,</w:t>
      </w:r>
      <w:bookmarkStart w:id="0" w:name="_GoBack"/>
      <w:bookmarkEnd w:id="0"/>
      <w:r w:rsidRPr="006951C5">
        <w:rPr>
          <w:rFonts w:eastAsia="MyriadPro-Light"/>
        </w:rPr>
        <w:t>045)</w:t>
      </w:r>
      <w:r>
        <w:rPr>
          <w:rFonts w:eastAsia="MyriadPro-Light"/>
        </w:rPr>
        <w:t xml:space="preserve"> i</w:t>
      </w:r>
      <w:r w:rsidRPr="006951C5">
        <w:rPr>
          <w:rFonts w:eastAsia="MyriadPro-Light"/>
        </w:rPr>
        <w:t xml:space="preserve"> GRACE</w:t>
      </w:r>
      <w:r>
        <w:rPr>
          <w:rFonts w:eastAsia="MyriadPro-Light"/>
        </w:rPr>
        <w:t xml:space="preserve"> kod otpuštanja</w:t>
      </w:r>
      <w:r w:rsidRPr="006951C5">
        <w:rPr>
          <w:rFonts w:eastAsia="MyriadPro-Light"/>
        </w:rPr>
        <w:t xml:space="preserve"> (AUC =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65; 95% CI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999-1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 xml:space="preserve">033). RISK-PCI </w:t>
      </w:r>
      <w:r>
        <w:rPr>
          <w:rFonts w:eastAsia="MyriadPro-Light"/>
        </w:rPr>
        <w:t xml:space="preserve">jedini je mogao predvidjeti revaskularizaciju ciljne koronarne arterije </w:t>
      </w:r>
      <w:r w:rsidRPr="006951C5">
        <w:rPr>
          <w:rFonts w:eastAsia="MyriadPro-Light"/>
        </w:rPr>
        <w:t>(AUC =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91; 95% CI 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392-2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882). RISK-PCI</w:t>
      </w:r>
      <w:r>
        <w:rPr>
          <w:rFonts w:eastAsia="MyriadPro-Light"/>
        </w:rPr>
        <w:t xml:space="preserve"> je pokazao odličan diskriminatorni potencijal za predviđanje smrti unutar 30 dana</w:t>
      </w:r>
      <w:r w:rsidRPr="006951C5">
        <w:rPr>
          <w:rFonts w:eastAsia="MyriadPro-Light"/>
        </w:rPr>
        <w:t xml:space="preserve"> (AUC =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96; 95% CI 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339-3</w:t>
      </w:r>
      <w:r>
        <w:rPr>
          <w:rFonts w:eastAsia="MyriadPro-Light"/>
        </w:rPr>
        <w:t>,</w:t>
      </w:r>
      <w:r w:rsidRPr="006951C5">
        <w:rPr>
          <w:rFonts w:eastAsia="MyriadPro-Light"/>
        </w:rPr>
        <w:t xml:space="preserve">548) </w:t>
      </w:r>
      <w:r>
        <w:rPr>
          <w:rFonts w:eastAsia="MyriadPro-Light"/>
        </w:rPr>
        <w:t xml:space="preserve">u usporedbi s </w:t>
      </w:r>
      <w:r w:rsidRPr="006951C5">
        <w:rPr>
          <w:rFonts w:eastAsia="MyriadPro-Light"/>
        </w:rPr>
        <w:t xml:space="preserve">GRACE </w:t>
      </w:r>
      <w:r>
        <w:rPr>
          <w:rFonts w:eastAsia="MyriadPro-Light"/>
        </w:rPr>
        <w:t xml:space="preserve">izračunom kod primanja u bolnicu </w:t>
      </w:r>
      <w:r w:rsidRPr="006951C5">
        <w:rPr>
          <w:rFonts w:eastAsia="MyriadPro-Light"/>
        </w:rPr>
        <w:t>(AUC =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88; 95% CI</w:t>
      </w:r>
      <w:r>
        <w:rPr>
          <w:rFonts w:eastAsia="MyriadPro-Light"/>
        </w:rPr>
        <w:t xml:space="preserve"> </w:t>
      </w:r>
      <w:r w:rsidRPr="006951C5">
        <w:rPr>
          <w:rFonts w:eastAsia="MyriadPro-Light"/>
        </w:rPr>
        <w:t>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018-1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072)</w:t>
      </w:r>
      <w:r>
        <w:rPr>
          <w:rFonts w:eastAsia="MyriadPro-Light"/>
        </w:rPr>
        <w:t xml:space="preserve"> i</w:t>
      </w:r>
      <w:r w:rsidRPr="006951C5">
        <w:rPr>
          <w:rFonts w:eastAsia="MyriadPro-Light"/>
        </w:rPr>
        <w:t xml:space="preserve"> GRACE </w:t>
      </w:r>
      <w:r>
        <w:rPr>
          <w:rFonts w:eastAsia="MyriadPro-Light"/>
        </w:rPr>
        <w:t>izračunom kod otpuštanja</w:t>
      </w:r>
      <w:r w:rsidRPr="006951C5">
        <w:rPr>
          <w:rFonts w:eastAsia="MyriadPro-Light"/>
        </w:rPr>
        <w:t xml:space="preserve"> (AUC = 0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78; 95% CI 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000-1</w:t>
      </w:r>
      <w:r>
        <w:rPr>
          <w:rFonts w:eastAsia="MyriadPro-Light"/>
        </w:rPr>
        <w:t>,</w:t>
      </w:r>
      <w:r w:rsidRPr="006951C5">
        <w:rPr>
          <w:rFonts w:eastAsia="MyriadPro-Light"/>
        </w:rPr>
        <w:t>058).</w:t>
      </w:r>
    </w:p>
    <w:p w:rsidR="008556B7" w:rsidRPr="00583CE7" w:rsidRDefault="008556B7" w:rsidP="008556B7">
      <w:pPr>
        <w:pStyle w:val="cmjTEXT"/>
        <w:rPr>
          <w:rFonts w:eastAsia="MyriadPro-Light"/>
        </w:rPr>
      </w:pPr>
      <w:r>
        <w:rPr>
          <w:rFonts w:eastAsia="MyriadPro-Light" w:cs="MyriadPro-Bold"/>
          <w:b/>
          <w:bCs/>
        </w:rPr>
        <w:t>Zaključak</w:t>
      </w:r>
      <w:r w:rsidRPr="006951C5">
        <w:rPr>
          <w:rFonts w:eastAsia="MyriadPro-Light" w:cs="MyriadPro-Bold"/>
          <w:b/>
          <w:bCs/>
        </w:rPr>
        <w:t xml:space="preserve"> </w:t>
      </w:r>
      <w:r w:rsidRPr="00353089">
        <w:rPr>
          <w:rFonts w:eastAsia="MyriadPro-Light" w:cs="MyriadPro-Bold"/>
          <w:bCs/>
        </w:rPr>
        <w:t>U usporedbi s</w:t>
      </w:r>
      <w:r>
        <w:rPr>
          <w:rFonts w:eastAsia="MyriadPro-Light" w:cs="MyriadPro-Bold"/>
          <w:b/>
          <w:bCs/>
        </w:rPr>
        <w:t xml:space="preserve"> </w:t>
      </w:r>
      <w:r>
        <w:rPr>
          <w:rFonts w:eastAsia="MyriadPro-Light"/>
        </w:rPr>
        <w:t xml:space="preserve">izračunima </w:t>
      </w:r>
      <w:r w:rsidRPr="006951C5">
        <w:rPr>
          <w:rFonts w:eastAsia="MyriadPro-Light"/>
        </w:rPr>
        <w:t xml:space="preserve">GRACE </w:t>
      </w:r>
      <w:r>
        <w:rPr>
          <w:rFonts w:eastAsia="MyriadPro-Light"/>
        </w:rPr>
        <w:t>i</w:t>
      </w:r>
      <w:r w:rsidRPr="006951C5">
        <w:rPr>
          <w:rFonts w:eastAsia="MyriadPro-Light"/>
        </w:rPr>
        <w:t xml:space="preserve"> TIMI, RISK-PCI </w:t>
      </w:r>
      <w:r>
        <w:rPr>
          <w:rFonts w:eastAsia="MyriadPro-Light"/>
        </w:rPr>
        <w:t>pokazao je ne-inferiornu mogućnost predviđanja velikog neželjenog kardiovaskularnog događaja</w:t>
      </w:r>
      <w:r w:rsidRPr="006951C5">
        <w:rPr>
          <w:rFonts w:eastAsia="MyriadPro-Light"/>
        </w:rPr>
        <w:t xml:space="preserve"> </w:t>
      </w:r>
      <w:r>
        <w:rPr>
          <w:rFonts w:eastAsia="MyriadPro-Light"/>
        </w:rPr>
        <w:t xml:space="preserve">unutar 30 dana i smrti kod </w:t>
      </w:r>
      <w:r w:rsidRPr="006951C5">
        <w:rPr>
          <w:rFonts w:eastAsia="MyriadPro-Light"/>
        </w:rPr>
        <w:t>pa</w:t>
      </w:r>
      <w:r>
        <w:rPr>
          <w:rFonts w:eastAsia="MyriadPro-Light"/>
        </w:rPr>
        <w:t>cijenata s akutnim koronarnim sindromom</w:t>
      </w:r>
      <w:r w:rsidRPr="006951C5">
        <w:rPr>
          <w:rFonts w:eastAsia="MyriadPro-Light"/>
        </w:rPr>
        <w:t xml:space="preserve">. </w:t>
      </w:r>
      <w:r>
        <w:rPr>
          <w:rFonts w:eastAsia="MyriadPro-Light"/>
        </w:rPr>
        <w:t>Štoviše</w:t>
      </w:r>
      <w:r w:rsidRPr="006951C5">
        <w:rPr>
          <w:rFonts w:eastAsia="MyriadPro-Light"/>
        </w:rPr>
        <w:t>,</w:t>
      </w:r>
      <w:r>
        <w:rPr>
          <w:rFonts w:eastAsia="MyriadPro-Light"/>
        </w:rPr>
        <w:t xml:space="preserve"> </w:t>
      </w:r>
      <w:r w:rsidRPr="006951C5">
        <w:rPr>
          <w:rFonts w:eastAsia="MyriadPro-Light"/>
        </w:rPr>
        <w:t xml:space="preserve">RISK-PCI </w:t>
      </w:r>
      <w:r>
        <w:rPr>
          <w:rFonts w:eastAsia="MyriadPro-Light"/>
        </w:rPr>
        <w:t>jedini je mogao predvidjeti ponovljenu ishemiju koja zahtijeva revaskularizaciju ciljne koronarne arterije.</w:t>
      </w:r>
    </w:p>
    <w:p w:rsidR="008556B7" w:rsidRPr="00A450C2" w:rsidRDefault="008556B7" w:rsidP="008556B7">
      <w:pPr>
        <w:pStyle w:val="cmjTEXT"/>
        <w:rPr>
          <w:sz w:val="28"/>
          <w:szCs w:val="28"/>
        </w:rPr>
      </w:pPr>
    </w:p>
    <w:p w:rsidR="008C73CA" w:rsidRPr="008556B7" w:rsidRDefault="008C73CA" w:rsidP="008556B7">
      <w:pPr>
        <w:pStyle w:val="cmjTEXT"/>
        <w:rPr>
          <w:szCs w:val="28"/>
        </w:rPr>
      </w:pPr>
    </w:p>
    <w:sectPr w:rsidR="008C73CA" w:rsidRPr="008556B7" w:rsidSect="00791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stylePaneFormatFilter w:val="3F01"/>
  <w:defaultTabStop w:val="708"/>
  <w:hyphenationZone w:val="425"/>
  <w:characterSpacingControl w:val="doNotCompress"/>
  <w:compat/>
  <w:rsids>
    <w:rsidRoot w:val="00724843"/>
    <w:rsid w:val="00025931"/>
    <w:rsid w:val="00112ACB"/>
    <w:rsid w:val="00115A2E"/>
    <w:rsid w:val="0021426C"/>
    <w:rsid w:val="0025656B"/>
    <w:rsid w:val="00437ED8"/>
    <w:rsid w:val="004751E6"/>
    <w:rsid w:val="004968AC"/>
    <w:rsid w:val="004D1593"/>
    <w:rsid w:val="004D45D5"/>
    <w:rsid w:val="005E787D"/>
    <w:rsid w:val="00652FBD"/>
    <w:rsid w:val="006B4B08"/>
    <w:rsid w:val="00724843"/>
    <w:rsid w:val="007B4DCB"/>
    <w:rsid w:val="007C30A2"/>
    <w:rsid w:val="00845499"/>
    <w:rsid w:val="008556B7"/>
    <w:rsid w:val="008C73CA"/>
    <w:rsid w:val="008D1DB8"/>
    <w:rsid w:val="008E68A8"/>
    <w:rsid w:val="009276EE"/>
    <w:rsid w:val="00930A21"/>
    <w:rsid w:val="009D6DDC"/>
    <w:rsid w:val="00A27F64"/>
    <w:rsid w:val="00A448E0"/>
    <w:rsid w:val="00A450C2"/>
    <w:rsid w:val="00A51D68"/>
    <w:rsid w:val="00AA48EA"/>
    <w:rsid w:val="00AB71BE"/>
    <w:rsid w:val="00B5713F"/>
    <w:rsid w:val="00B61A90"/>
    <w:rsid w:val="00B80954"/>
    <w:rsid w:val="00BF592E"/>
    <w:rsid w:val="00C533EE"/>
    <w:rsid w:val="00C73CB2"/>
    <w:rsid w:val="00D76FAF"/>
    <w:rsid w:val="00E46DAD"/>
    <w:rsid w:val="00F0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47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4843"/>
    <w:rPr>
      <w:rFonts w:cs="Times New Roman"/>
      <w:color w:val="0000FF"/>
      <w:u w:val="single"/>
    </w:rPr>
  </w:style>
  <w:style w:type="paragraph" w:customStyle="1" w:styleId="TableNormal1">
    <w:name w:val="Table Normal1"/>
    <w:basedOn w:val="Normal"/>
    <w:link w:val="NormaltableChar"/>
    <w:uiPriority w:val="99"/>
    <w:rsid w:val="00724843"/>
    <w:pPr>
      <w:spacing w:after="0" w:line="240" w:lineRule="auto"/>
    </w:pPr>
    <w:rPr>
      <w:rFonts w:ascii="Calibri Light" w:hAnsi="Calibri Light" w:cs="Arial"/>
      <w:bCs/>
      <w:color w:val="548DD4"/>
      <w:sz w:val="20"/>
      <w:szCs w:val="20"/>
    </w:rPr>
  </w:style>
  <w:style w:type="character" w:customStyle="1" w:styleId="NormaltableChar">
    <w:name w:val="Normal table Char"/>
    <w:basedOn w:val="DefaultParagraphFont"/>
    <w:link w:val="TableNormal1"/>
    <w:uiPriority w:val="99"/>
    <w:locked/>
    <w:rsid w:val="00724843"/>
    <w:rPr>
      <w:rFonts w:ascii="Calibri Light" w:eastAsia="Times New Roman" w:hAnsi="Calibri Light" w:cs="Arial"/>
      <w:bCs/>
      <w:color w:val="548DD4"/>
      <w:lang w:val="hr-HR" w:eastAsia="en-US" w:bidi="ar-SA"/>
    </w:rPr>
  </w:style>
  <w:style w:type="paragraph" w:customStyle="1" w:styleId="Default">
    <w:name w:val="Default"/>
    <w:uiPriority w:val="99"/>
    <w:rsid w:val="007248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jNASLOV">
    <w:name w:val="cmj_NASLOV"/>
    <w:basedOn w:val="Heading1"/>
    <w:autoRedefine/>
    <w:rsid w:val="00B5713F"/>
    <w:pPr>
      <w:spacing w:before="0" w:after="0" w:line="360" w:lineRule="auto"/>
    </w:pPr>
    <w:rPr>
      <w:rFonts w:ascii="Times New Roman" w:hAnsi="Times New Roman" w:cs="Times New Roman"/>
      <w:color w:val="000000"/>
      <w:kern w:val="0"/>
      <w:sz w:val="24"/>
      <w:szCs w:val="24"/>
      <w:u w:color="000000"/>
      <w:lang w:val="tr-TR" w:eastAsia="tr-TR"/>
    </w:rPr>
  </w:style>
  <w:style w:type="paragraph" w:customStyle="1" w:styleId="cmjTEXT">
    <w:name w:val="cmj_TEXT"/>
    <w:basedOn w:val="Normal"/>
    <w:autoRedefine/>
    <w:rsid w:val="00B5713F"/>
    <w:pPr>
      <w:spacing w:after="0" w:line="360" w:lineRule="auto"/>
    </w:pPr>
    <w:rPr>
      <w:rFonts w:ascii="Times New Roman" w:hAnsi="Times New Roman"/>
      <w:color w:val="000000"/>
      <w:sz w:val="24"/>
      <w:szCs w:val="24"/>
      <w:u w:color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P2X3 receptors in bilateral masseter muscle allodynia in rats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P2X3 receptors in bilateral masseter muscle allodynia in rats</dc:title>
  <dc:creator>Reviser 01/02/2017</dc:creator>
  <cp:lastModifiedBy>Slizard</cp:lastModifiedBy>
  <cp:revision>2</cp:revision>
  <dcterms:created xsi:type="dcterms:W3CDTF">2018-05-14T05:43:00Z</dcterms:created>
  <dcterms:modified xsi:type="dcterms:W3CDTF">2018-05-14T05:43:00Z</dcterms:modified>
</cp:coreProperties>
</file>